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淮安市公安局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2022年政府信息公开工作年度报告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overflowPunct w:val="0"/>
        <w:topLinePunct w:val="1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根据《中华人民共和国政府信息公开条例》（以下简称《条例》），淮安市公安局编制了2022年政府信息公开工作年度报告，本报告包括总体情况、主动公开政府信息情况、政府信息依申请公开办理情况、因政府信息公开申请行政复议和提起行政诉讼情况、</w:t>
      </w:r>
      <w:r>
        <w:rPr>
          <w:rFonts w:hint="eastAsia" w:ascii="Times New Roman" w:hAnsi="Times New Roman" w:eastAsia="方正仿宋_GBK"/>
          <w:sz w:val="32"/>
          <w:szCs w:val="32"/>
        </w:rPr>
        <w:t>政府信息公开工作存在的主要问题及改进情况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等。本报告中所列数据统计期限从2022年1月1日至2022年12月31日。本报告的电子版可以在淮安市公安局互联网门户网站）下载。如对本报告存在任何疑问，请联系淮安市公安局政务公开工作办公室，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（地址：淮安市生态新城玉兰路6号，邮编：223001，电话：0517-8133036，电子邮箱：</w:t>
      </w:r>
      <w:r>
        <w:fldChar w:fldCharType="begin"/>
      </w:r>
      <w:r>
        <w:instrText xml:space="preserve">HYPERLINK "mailto:haga_zwxxgk@163.com" </w:instrText>
      </w:r>
      <w:r>
        <w:fldChar w:fldCharType="separate"/>
      </w:r>
      <w:r>
        <w:rPr>
          <w:rFonts w:hint="eastAsia" w:ascii="Times New Roman" w:hAnsi="Times New Roman" w:eastAsia="方正仿宋_GBK" w:cs="Times New Roman"/>
          <w:sz w:val="32"/>
          <w:szCs w:val="32"/>
        </w:rPr>
        <w:t>haga_zwxxgk@163.com</w:t>
      </w:r>
      <w: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）。</w:t>
      </w:r>
    </w:p>
    <w:p>
      <w:pPr>
        <w:overflowPunct w:val="0"/>
        <w:topLinePunct w:val="1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一、总体情况</w:t>
      </w:r>
    </w:p>
    <w:p>
      <w:pPr>
        <w:overflowPunct w:val="0"/>
        <w:topLinePunct w:val="1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2022年，淮安市公安局认真落实《中华人民共和国政府信息公开条例》，坚持“以公开为常态，不公开为例外”的原则，深入贯彻落实《条例》及国家、省、市关于政务公开有关要求，在政府信息公开工作上持续发力，取得了明显成效。</w:t>
      </w:r>
    </w:p>
    <w:p>
      <w:pPr>
        <w:overflowPunct w:val="0"/>
        <w:topLinePunct w:val="1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宋体"/>
          <w:kern w:val="0"/>
          <w:sz w:val="32"/>
          <w:szCs w:val="32"/>
        </w:rPr>
        <w:t>（一）主动公开。</w:t>
      </w:r>
      <w:r>
        <w:rPr>
          <w:rFonts w:hint="eastAsia" w:ascii="Times New Roman" w:hAnsi="Times New Roman" w:eastAsia="方正仿宋_GBK" w:cs="宋体"/>
          <w:b/>
          <w:kern w:val="0"/>
          <w:sz w:val="32"/>
          <w:szCs w:val="32"/>
        </w:rPr>
        <w:t>一是全面公开信息。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及时更新市公安局职能架构、领导人员信息、财政预算和决算、市委市政府重点工作落实情况等各类政务信息1031条。</w:t>
      </w:r>
      <w:r>
        <w:rPr>
          <w:rFonts w:hint="eastAsia" w:ascii="Times New Roman" w:hAnsi="Times New Roman" w:eastAsia="方正仿宋_GBK" w:cs="宋体"/>
          <w:b/>
          <w:kern w:val="0"/>
          <w:sz w:val="32"/>
          <w:szCs w:val="32"/>
        </w:rPr>
        <w:t>二是优化栏目设置。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新增公开事项1项，突出重点信息公开，完善系统功能，提升栏目实用性。</w:t>
      </w:r>
      <w:r>
        <w:rPr>
          <w:rFonts w:hint="eastAsia" w:ascii="Times New Roman" w:hAnsi="Times New Roman" w:eastAsia="方正仿宋_GBK" w:cs="宋体"/>
          <w:b/>
          <w:kern w:val="0"/>
          <w:sz w:val="32"/>
          <w:szCs w:val="32"/>
        </w:rPr>
        <w:t>三是突出政策解读。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结合疫情防控、为民服务、打击犯罪、道路交通管理等群众关注热点问题，运用图文、问答、动画、视频等多种通俗易懂的形式，政策解读19篇。</w:t>
      </w:r>
      <w:r>
        <w:rPr>
          <w:rFonts w:hint="eastAsia" w:ascii="Times New Roman" w:hAnsi="Times New Roman" w:eastAsia="方正仿宋_GBK" w:cs="宋体"/>
          <w:b/>
          <w:kern w:val="0"/>
          <w:sz w:val="32"/>
          <w:szCs w:val="32"/>
        </w:rPr>
        <w:t>四是强化媒体运维。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规范28家政务新媒体运维管理，发布信息10800条，点击量10万次。</w:t>
      </w:r>
      <w:r>
        <w:rPr>
          <w:rFonts w:hint="eastAsia" w:ascii="Times New Roman" w:hAnsi="Times New Roman" w:eastAsia="方正仿宋_GBK" w:cs="宋体"/>
          <w:b/>
          <w:kern w:val="0"/>
          <w:sz w:val="32"/>
          <w:szCs w:val="32"/>
        </w:rPr>
        <w:t>五是开展政民互动。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通过人大政协建议提案办理、在线访谈、政府信箱、政务热线、警营开放等形式与群众、企事业单位互动交流1万余人次。</w:t>
      </w:r>
    </w:p>
    <w:p>
      <w:pPr>
        <w:overflowPunct w:val="0"/>
        <w:topLinePunct w:val="1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宋体"/>
          <w:kern w:val="0"/>
          <w:sz w:val="32"/>
          <w:szCs w:val="32"/>
        </w:rPr>
        <w:t>（二）依申请公开。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进一步规范政府信息依申请公开的办理，完善收转、登记、拟办、审核、发布等流程，最大限度推进公开，保障群众知情权。2022年，市级公安机关共接受政府信息公开申请35件，较2021年大幅上升，全部按照法定程序和时限依法答复，被行政复议1起，被行政诉讼1起，未出现被纠错和败诉情况。</w:t>
      </w:r>
    </w:p>
    <w:p>
      <w:pPr>
        <w:overflowPunct w:val="0"/>
        <w:topLinePunct w:val="1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宋体"/>
          <w:kern w:val="0"/>
          <w:sz w:val="32"/>
          <w:szCs w:val="32"/>
        </w:rPr>
        <w:t>（三）政府信息管理。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进一步规范信息管理，健全完善政府信息发布机制、政府信息公开审查机制、政府信息公开协调机制和政府信息公开动态调整机制，完善政府信息主动公开目录，并根据部门职责变化及时进行动态更新调整，及时、准确地公开政府信息。严格落实公文公开属性源头认定机制，行政公文标识主动公开、依申请公开、不予公开属性,主动公开的同步制作、发布政策解读。</w:t>
      </w:r>
    </w:p>
    <w:p>
      <w:pPr>
        <w:overflowPunct w:val="0"/>
        <w:topLinePunct w:val="1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宋体"/>
          <w:kern w:val="0"/>
          <w:sz w:val="32"/>
          <w:szCs w:val="32"/>
        </w:rPr>
        <w:t>（四）平台建设。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依托淮安市公安局互联网门户网站，推出重点领域信息公开、公告公示、文件公开、政策法规、政策解读、社会治安、交通出行、调查征集等多个栏目，进一步增强政民互动交流，满足各类信息公开需求。深化网上办事大厅建设，提供数字化查询、办事、监督、交流新平台，方便群众“掌上办、预约办、快捷办”，优化行政权力、公共服务清单办理流程。</w:t>
      </w:r>
    </w:p>
    <w:p>
      <w:pPr>
        <w:overflowPunct w:val="0"/>
        <w:topLinePunct w:val="1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宋体"/>
          <w:kern w:val="0"/>
          <w:sz w:val="32"/>
          <w:szCs w:val="32"/>
        </w:rPr>
        <w:t>（五）监督保障。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健全政府信息公开领导和承办工作体系，根据人事变动，及时调整市公安局政务公开工作领导小组成员，明确专职工作人员2人、兼职工作人员1人。建立市公安局政府信息公开工作群，提高政府信息公开工作效率。2022年，市公安局共组织进行政府信息公开工作培训1次，指导、培训工作人员30人次。同时，将政府信息公开工作纳入全局综合考核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二、主动公开政府信息情况</w:t>
      </w:r>
    </w:p>
    <w:tbl>
      <w:tblPr>
        <w:tblW w:w="78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50"/>
        <w:gridCol w:w="1950"/>
        <w:gridCol w:w="1951"/>
        <w:gridCol w:w="19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802" w:type="dxa"/>
            <w:gridSpan w:val="4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第二十条  第(一)项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信息内容</w:t>
            </w:r>
          </w:p>
        </w:tc>
        <w:tc>
          <w:tcPr>
            <w:tcW w:w="195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本年制发件数</w:t>
            </w:r>
          </w:p>
        </w:tc>
        <w:tc>
          <w:tcPr>
            <w:tcW w:w="195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本年废止件数</w:t>
            </w:r>
          </w:p>
        </w:tc>
        <w:tc>
          <w:tcPr>
            <w:tcW w:w="195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规章</w:t>
            </w:r>
          </w:p>
        </w:tc>
        <w:tc>
          <w:tcPr>
            <w:tcW w:w="195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</w:p>
        </w:tc>
        <w:tc>
          <w:tcPr>
            <w:tcW w:w="195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</w:p>
        </w:tc>
        <w:tc>
          <w:tcPr>
            <w:tcW w:w="195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行政规范性文件</w:t>
            </w:r>
          </w:p>
        </w:tc>
        <w:tc>
          <w:tcPr>
            <w:tcW w:w="195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</w:p>
        </w:tc>
        <w:tc>
          <w:tcPr>
            <w:tcW w:w="195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</w:p>
        </w:tc>
        <w:tc>
          <w:tcPr>
            <w:tcW w:w="195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802" w:type="dxa"/>
            <w:gridSpan w:val="4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第二十条  第（五）项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信息内容</w:t>
            </w:r>
          </w:p>
        </w:tc>
        <w:tc>
          <w:tcPr>
            <w:tcW w:w="5852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行政许可</w:t>
            </w:r>
          </w:p>
        </w:tc>
        <w:tc>
          <w:tcPr>
            <w:tcW w:w="5852" w:type="dxa"/>
            <w:gridSpan w:val="3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379872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7802" w:type="dxa"/>
            <w:gridSpan w:val="4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第二十条  第（六）项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信息内容</w:t>
            </w:r>
          </w:p>
        </w:tc>
        <w:tc>
          <w:tcPr>
            <w:tcW w:w="5852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行政处罚</w:t>
            </w:r>
          </w:p>
        </w:tc>
        <w:tc>
          <w:tcPr>
            <w:tcW w:w="5852" w:type="dxa"/>
            <w:gridSpan w:val="3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3180945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行政强制</w:t>
            </w:r>
          </w:p>
        </w:tc>
        <w:tc>
          <w:tcPr>
            <w:tcW w:w="5852" w:type="dxa"/>
            <w:gridSpan w:val="3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28104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7802" w:type="dxa"/>
            <w:gridSpan w:val="4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第二十条  第（八）项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信息内容</w:t>
            </w:r>
          </w:p>
        </w:tc>
        <w:tc>
          <w:tcPr>
            <w:tcW w:w="5852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行政事业性收费</w:t>
            </w:r>
          </w:p>
        </w:tc>
        <w:tc>
          <w:tcPr>
            <w:tcW w:w="5852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52.211</w:t>
            </w:r>
          </w:p>
        </w:tc>
      </w:tr>
    </w:tbl>
    <w:p>
      <w:pPr>
        <w:pStyle w:val="7"/>
        <w:ind w:left="720" w:firstLine="0" w:firstLineChars="0"/>
        <w:jc w:val="left"/>
        <w:rPr>
          <w:rFonts w:ascii="Times New Roman" w:hAnsi="Times New Roman" w:eastAsia="仿宋_GB2312"/>
          <w:b/>
          <w:szCs w:val="21"/>
        </w:rPr>
      </w:pPr>
      <w:r>
        <w:rPr>
          <w:rFonts w:hint="eastAsia" w:ascii="Times New Roman" w:hAnsi="Times New Roman" w:eastAsia="仿宋_GB2312"/>
          <w:b/>
          <w:szCs w:val="21"/>
        </w:rPr>
        <w:t>注：行政处罚数据将增加交通简易处罚数据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收到和处理政府信息公开申请情况</w:t>
      </w:r>
      <w:bookmarkStart w:id="0" w:name="_GoBack"/>
      <w:bookmarkEnd w:id="0"/>
    </w:p>
    <w:tbl>
      <w:tblPr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left w:w="0" w:type="dxa"/>
          <w:right w:w="0" w:type="dxa"/>
        </w:tblCellMar>
      </w:tblPr>
      <w:tblGrid>
        <w:gridCol w:w="576"/>
        <w:gridCol w:w="853"/>
        <w:gridCol w:w="2356"/>
        <w:gridCol w:w="851"/>
        <w:gridCol w:w="709"/>
        <w:gridCol w:w="793"/>
        <w:gridCol w:w="908"/>
        <w:gridCol w:w="888"/>
        <w:gridCol w:w="529"/>
        <w:gridCol w:w="6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8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52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8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自然人</w:t>
            </w:r>
          </w:p>
        </w:tc>
        <w:tc>
          <w:tcPr>
            <w:tcW w:w="38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法人或其他组织</w:t>
            </w:r>
          </w:p>
        </w:tc>
        <w:tc>
          <w:tcPr>
            <w:tcW w:w="6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22"/>
              </w:rPr>
            </w:pPr>
            <w:r>
              <w:rPr>
                <w:rFonts w:hint="eastAsia" w:ascii="Times New Roman" w:hAnsi="黑体" w:eastAsia="黑体"/>
                <w:sz w:val="22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78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商业</w:t>
            </w:r>
          </w:p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企业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科研</w:t>
            </w:r>
          </w:p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机构</w:t>
            </w:r>
          </w:p>
        </w:tc>
        <w:tc>
          <w:tcPr>
            <w:tcW w:w="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社会公益组织</w:t>
            </w: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法律服务机构</w:t>
            </w:r>
          </w:p>
        </w:tc>
        <w:tc>
          <w:tcPr>
            <w:tcW w:w="5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其他</w:t>
            </w:r>
          </w:p>
        </w:tc>
        <w:tc>
          <w:tcPr>
            <w:tcW w:w="6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三、本年度办理结果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黑体" w:eastAsia="黑体"/>
                <w:sz w:val="18"/>
                <w:szCs w:val="18"/>
              </w:rPr>
              <w:t>（一）予以公开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（三）不予公开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1.</w:t>
            </w:r>
            <w:r>
              <w:rPr>
                <w:rFonts w:hint="eastAsia" w:ascii="Times New Roman" w:hAnsi="黑体" w:eastAsia="黑体"/>
                <w:sz w:val="18"/>
                <w:szCs w:val="18"/>
              </w:rPr>
              <w:t>属于国家秘密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2.</w:t>
            </w:r>
            <w:r>
              <w:rPr>
                <w:rFonts w:hint="eastAsia" w:ascii="Times New Roman" w:hAnsi="黑体" w:eastAsia="黑体"/>
                <w:sz w:val="18"/>
                <w:szCs w:val="18"/>
              </w:rPr>
              <w:t>其他法律行政法规禁止公开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3.</w:t>
            </w:r>
            <w:r>
              <w:rPr>
                <w:rFonts w:hint="eastAsia" w:ascii="Times New Roman" w:hAnsi="黑体" w:eastAsia="黑体"/>
                <w:sz w:val="18"/>
                <w:szCs w:val="18"/>
              </w:rPr>
              <w:t>危及</w:t>
            </w:r>
            <w:r>
              <w:rPr>
                <w:rFonts w:hint="eastAsia" w:ascii="Times New Roman" w:hAnsi="Times New Roman" w:eastAsia="黑体"/>
                <w:sz w:val="18"/>
                <w:szCs w:val="18"/>
              </w:rPr>
              <w:t>“</w:t>
            </w:r>
            <w:r>
              <w:rPr>
                <w:rFonts w:hint="eastAsia" w:ascii="Times New Roman" w:hAnsi="黑体" w:eastAsia="黑体"/>
                <w:sz w:val="18"/>
                <w:szCs w:val="18"/>
              </w:rPr>
              <w:t>三安全一稳定</w:t>
            </w:r>
            <w:r>
              <w:rPr>
                <w:rFonts w:hint="eastAsia" w:ascii="Times New Roman" w:hAnsi="Times New Roman" w:eastAsia="黑体"/>
                <w:sz w:val="18"/>
                <w:szCs w:val="18"/>
              </w:rPr>
              <w:t>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4.</w:t>
            </w:r>
            <w:r>
              <w:rPr>
                <w:rFonts w:hint="eastAsia" w:ascii="Times New Roman" w:hAnsi="黑体" w:eastAsia="黑体"/>
                <w:sz w:val="18"/>
                <w:szCs w:val="18"/>
              </w:rPr>
              <w:t>保护第三方合法权益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5.</w:t>
            </w:r>
            <w:r>
              <w:rPr>
                <w:rFonts w:hint="eastAsia" w:ascii="Times New Roman" w:hAnsi="黑体" w:eastAsia="黑体"/>
                <w:sz w:val="18"/>
                <w:szCs w:val="18"/>
              </w:rPr>
              <w:t>属于三类内部事务信息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6.</w:t>
            </w:r>
            <w:r>
              <w:rPr>
                <w:rFonts w:hint="eastAsia" w:ascii="Times New Roman" w:hAnsi="黑体" w:eastAsia="黑体"/>
                <w:sz w:val="18"/>
                <w:szCs w:val="18"/>
              </w:rPr>
              <w:t>属于四类过程性信息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7.</w:t>
            </w:r>
            <w:r>
              <w:rPr>
                <w:rFonts w:hint="eastAsia" w:ascii="Times New Roman" w:hAnsi="黑体" w:eastAsia="黑体"/>
                <w:sz w:val="18"/>
                <w:szCs w:val="18"/>
              </w:rPr>
              <w:t>属于行政执法案卷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8.</w:t>
            </w:r>
            <w:r>
              <w:rPr>
                <w:rFonts w:hint="eastAsia" w:ascii="Times New Roman" w:hAnsi="黑体" w:eastAsia="黑体"/>
                <w:sz w:val="18"/>
                <w:szCs w:val="18"/>
              </w:rPr>
              <w:t>属于行政查询事项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（四）无法提供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1.</w:t>
            </w:r>
            <w:r>
              <w:rPr>
                <w:rFonts w:hint="eastAsia" w:ascii="Times New Roman" w:hAnsi="黑体" w:eastAsia="黑体"/>
                <w:sz w:val="18"/>
                <w:szCs w:val="18"/>
              </w:rPr>
              <w:t>本机关不掌握相关政府信息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2.</w:t>
            </w:r>
            <w:r>
              <w:rPr>
                <w:rFonts w:hint="eastAsia" w:ascii="Times New Roman" w:hAnsi="黑体" w:eastAsia="黑体"/>
                <w:sz w:val="18"/>
                <w:szCs w:val="18"/>
              </w:rPr>
              <w:t>没有现成信息需要另行制作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3.</w:t>
            </w:r>
            <w:r>
              <w:rPr>
                <w:rFonts w:hint="eastAsia" w:ascii="Times New Roman" w:hAnsi="黑体" w:eastAsia="黑体"/>
                <w:sz w:val="18"/>
                <w:szCs w:val="18"/>
              </w:rPr>
              <w:t>补正后申请内容仍不明确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（五）不予处理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1.</w:t>
            </w:r>
            <w:r>
              <w:rPr>
                <w:rFonts w:hint="eastAsia" w:ascii="Times New Roman" w:hAnsi="黑体" w:eastAsia="黑体"/>
                <w:sz w:val="18"/>
                <w:szCs w:val="18"/>
              </w:rPr>
              <w:t>信访举报投诉类申请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2.</w:t>
            </w:r>
            <w:r>
              <w:rPr>
                <w:rFonts w:hint="eastAsia" w:ascii="Times New Roman" w:hAnsi="黑体" w:eastAsia="黑体"/>
                <w:sz w:val="18"/>
                <w:szCs w:val="18"/>
              </w:rPr>
              <w:t>重复申请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3.</w:t>
            </w:r>
            <w:r>
              <w:rPr>
                <w:rFonts w:hint="eastAsia" w:ascii="Times New Roman" w:hAnsi="黑体" w:eastAsia="黑体"/>
                <w:sz w:val="18"/>
                <w:szCs w:val="18"/>
              </w:rPr>
              <w:t>要求提供公开出版物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4.</w:t>
            </w:r>
            <w:r>
              <w:rPr>
                <w:rFonts w:hint="eastAsia" w:ascii="Times New Roman" w:hAnsi="黑体" w:eastAsia="黑体"/>
                <w:sz w:val="18"/>
                <w:szCs w:val="18"/>
              </w:rPr>
              <w:t>无正当理由大量反复申请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5.</w:t>
            </w:r>
            <w:r>
              <w:rPr>
                <w:rFonts w:hint="eastAsia" w:ascii="Times New Roman" w:hAnsi="黑体" w:eastAsia="黑体"/>
                <w:sz w:val="18"/>
                <w:szCs w:val="18"/>
              </w:rPr>
              <w:t>要求行政机关确认或重新出具已获取信息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（六）其他处理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1.</w:t>
            </w:r>
            <w:r>
              <w:rPr>
                <w:rFonts w:hint="eastAsia" w:ascii="Times New Roman" w:hAnsi="黑体" w:eastAsia="黑体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2.</w:t>
            </w:r>
            <w:r>
              <w:rPr>
                <w:rFonts w:hint="eastAsia" w:ascii="Times New Roman" w:hAnsi="黑体" w:eastAsia="黑体"/>
                <w:sz w:val="18"/>
                <w:szCs w:val="18"/>
              </w:rPr>
              <w:t>申请人逾期未按收费通知要求缴纳费用、行政机关不再处理其政府信息公开申请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3.</w:t>
            </w:r>
            <w:r>
              <w:rPr>
                <w:rFonts w:hint="eastAsia" w:ascii="Times New Roman" w:hAnsi="黑体" w:eastAsia="黑体"/>
                <w:sz w:val="18"/>
                <w:szCs w:val="18"/>
              </w:rPr>
              <w:t>其他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（七）总计</w:t>
            </w:r>
          </w:p>
        </w:tc>
        <w:tc>
          <w:tcPr>
            <w:tcW w:w="851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四、结转下年度继续办理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</w:tr>
    </w:tbl>
    <w:p>
      <w:pPr>
        <w:snapToGrid w:val="0"/>
        <w:spacing w:line="420" w:lineRule="exact"/>
        <w:ind w:firstLine="450"/>
        <w:jc w:val="left"/>
        <w:rPr>
          <w:rFonts w:ascii="Times New Roman" w:hAnsi="Times New Roman" w:eastAsia="仿宋_GB2312" w:cs="宋体"/>
          <w:color w:val="333333"/>
          <w:kern w:val="0"/>
          <w:sz w:val="22"/>
          <w:shd w:val="clear" w:color="auto" w:fill="FFFFFF"/>
        </w:rPr>
      </w:pPr>
    </w:p>
    <w:p>
      <w:pPr>
        <w:snapToGrid w:val="0"/>
        <w:spacing w:line="56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黑体" w:eastAsia="黑体"/>
          <w:color w:val="00000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left w:w="0" w:type="dxa"/>
          <w:right w:w="0" w:type="dxa"/>
        </w:tblCellMar>
      </w:tblPr>
      <w:tblGrid>
        <w:gridCol w:w="604"/>
        <w:gridCol w:w="604"/>
        <w:gridCol w:w="604"/>
        <w:gridCol w:w="604"/>
        <w:gridCol w:w="519"/>
        <w:gridCol w:w="689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29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行政复议</w:t>
            </w:r>
          </w:p>
        </w:tc>
        <w:tc>
          <w:tcPr>
            <w:tcW w:w="613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尚未审结</w:t>
            </w:r>
          </w:p>
        </w:tc>
        <w:tc>
          <w:tcPr>
            <w:tcW w:w="51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总计</w:t>
            </w:r>
          </w:p>
        </w:tc>
        <w:tc>
          <w:tcPr>
            <w:tcW w:w="310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2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2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2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22"/>
              </w:rPr>
            </w:pPr>
            <w:r>
              <w:rPr>
                <w:rFonts w:hint="eastAsia" w:ascii="Times New Roman" w:hAnsi="Times New Roman" w:eastAsia="黑体"/>
                <w:sz w:val="2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22"/>
              </w:rPr>
            </w:pPr>
            <w:r>
              <w:rPr>
                <w:rFonts w:hint="eastAsia" w:ascii="Times New Roman" w:hAnsi="Times New Roman" w:eastAsia="黑体"/>
                <w:sz w:val="2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22"/>
              </w:rPr>
            </w:pPr>
            <w:r>
              <w:rPr>
                <w:rFonts w:hint="eastAsia" w:ascii="Times New Roman" w:hAnsi="Times New Roman" w:eastAsia="黑体"/>
                <w:sz w:val="2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1</w:t>
            </w:r>
          </w:p>
        </w:tc>
      </w:tr>
    </w:tbl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黑体" w:eastAsia="黑体"/>
          <w:color w:val="000000"/>
          <w:sz w:val="32"/>
          <w:szCs w:val="32"/>
        </w:rPr>
        <w:t>五、存在的主要问题及改进情况</w:t>
      </w:r>
    </w:p>
    <w:p>
      <w:pPr>
        <w:overflowPunct w:val="0"/>
        <w:topLinePunct w:val="1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宋体"/>
          <w:kern w:val="0"/>
          <w:sz w:val="32"/>
          <w:szCs w:val="32"/>
        </w:rPr>
        <w:t>存在的问题：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虽然2022年市公安局政府信息公开工作取得了一定成绩，但也存在一些不足和问题，一是时效性有待增强，信息公开机制有待完善，公开及时性有待提升；二是规范性有待提升，政府信息公开过程中，存在格式不规范等问题；三是公开内容不够丰富，在涉及民生领域、重点领域和政策解读等信息公开相对较少，公开内容较为单一。</w:t>
      </w:r>
    </w:p>
    <w:p>
      <w:pPr>
        <w:overflowPunct w:val="0"/>
        <w:topLinePunct w:val="1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宋体"/>
          <w:kern w:val="0"/>
          <w:sz w:val="32"/>
          <w:szCs w:val="32"/>
        </w:rPr>
        <w:t>下步工作意见和建议：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今后工作中，针对存在的问题，主要做好以下三个方面。一是理顺工作机制。在组织机构健全基础上，抓好信息公开制度的执行和完善，进一步理顺工作机制，提高工作质效。二是强化人员培训。在集中培训的基础上，统筹规划、科学安排，采取多种形式，不断开展平台操作、信息编辑等专题学习培训，进一步提高岗位民警的应用技能和水平。三是提升服务水平。把人民群众普遍关心的问题、涉及人民群众切身利益的问题、人民群众迫切需要解决的问题，作为信息公开的重点内容，同时不断丰富公安网站内容，做活做优各种功能。</w:t>
      </w:r>
    </w:p>
    <w:p>
      <w:pPr>
        <w:pStyle w:val="7"/>
        <w:spacing w:line="560" w:lineRule="exact"/>
        <w:ind w:left="2" w:leftChars="1" w:firstLine="640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黑体" w:eastAsia="黑体"/>
          <w:color w:val="000000"/>
          <w:sz w:val="32"/>
          <w:szCs w:val="32"/>
        </w:rPr>
        <w:t>六、其他需要报告的事项</w:t>
      </w:r>
    </w:p>
    <w:p>
      <w:pPr>
        <w:overflowPunct w:val="0"/>
        <w:topLinePunct w:val="1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2022年，市公安局未收取信息处理费。</w:t>
      </w:r>
    </w:p>
    <w:sectPr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59678181">
    <w:nsid w:val="0F7A5FE5"/>
    <w:multiLevelType w:val="multilevel"/>
    <w:tmpl w:val="0F7A5FE5"/>
    <w:lvl w:ilvl="0" w:tentative="1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596781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479</Words>
  <Characters>2732</Characters>
  <Lines>22</Lines>
  <Paragraphs>6</Paragraphs>
  <TotalTime>0</TotalTime>
  <ScaleCrop>false</ScaleCrop>
  <LinksUpToDate>false</LinksUpToDate>
  <CharactersWithSpaces>0</CharactersWithSpaces>
  <Application>WPS Office 个人版_9.1.0.4397_{F1E327BC-269C-435d-A152-05C5408002CA}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2022-01-21T04:14:00Z</dcterms:created>
  <dc:creator>微软用户</dc:creator>
  <cp:lastModifiedBy>Anonymous</cp:lastModifiedBy>
  <cp:lastPrinted>2022-01-18T06:04:00Z</cp:lastPrinted>
  <dcterms:modified xsi:type="dcterms:W3CDTF">2023-01-31T01:58:31Z</dcterms:modified>
  <dc:title>淮安市公安局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