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wordWrap/>
        <w:adjustRightInd/>
        <w:snapToGrid/>
        <w:spacing w:before="0" w:beforeAutospacing="0" w:after="0" w:afterAutospacing="0" w:line="440" w:lineRule="exact"/>
        <w:ind w:left="0" w:leftChars="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关于公布固定式交通技术监控设备设置地点的公告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4"/>
        <w:widowControl/>
        <w:wordWrap/>
        <w:adjustRightInd/>
        <w:snapToGrid/>
        <w:spacing w:before="0" w:beforeAutospacing="0" w:after="0" w:afterAutospacing="0" w:line="440" w:lineRule="exact"/>
        <w:ind w:left="0" w:leftChars="0" w:firstLine="560" w:firstLineChars="200"/>
        <w:textAlignment w:val="auto"/>
        <w:outlineLvl w:val="9"/>
        <w:rPr>
          <w:rFonts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为维护道路交通秩序，预防和减少道路交通事故的发生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，减少因发生交通事故引发次生伤害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，保障道路交通安全、有序、畅通，根据《中华人民共和国道路交通安全法》、《道路交通违法行为处理程序规定》（公安部157号令）的相关要求和有关规定，淮安市公安局交通警察支队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高速公路三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大队决定在以下路段启用交通技术监控设备，本公告自发布之日起五个工作日后正式启用，现将设置情况公告如下：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440" w:lineRule="exact"/>
        <w:ind w:left="0" w:leftChars="0" w:firstLine="560" w:firstLineChars="200"/>
        <w:textAlignment w:val="auto"/>
        <w:outlineLvl w:val="9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一、交通技术监控设备类型：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区间测速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设备。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二、设置地点：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G25长深高速1922K+50M至1910K+500M（由南向北）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G25长深高速1865K+300M至1841K+450M（由南向北）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G25长深高速1910K+300M至1921K+900M（由北向南）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G25长深高速1888K+600M至1904K+20M（由北向南）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G25长深高速1886K+300M至1868K+500M（由南向北）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G25长深高速1904K+300M至1888K+800M（由南向北）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G25长深高速1868K+300M至1886K+100M（由北向南）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G25长深高速1841K+300M至1865K（由北向南）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三、查处的违法行为类别：</w:t>
      </w: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 w:bidi="ar-SA"/>
        </w:rPr>
        <w:t>机动车行驶超过规定时速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驾驶机动车在高速公路上不按规定车道行驶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驾驶时拨打接听手持电话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p>
      <w:pPr>
        <w:wordWrap/>
        <w:adjustRightInd/>
        <w:snapToGrid/>
        <w:spacing w:before="0" w:after="0" w:afterAutospacing="0" w:line="440" w:lineRule="exact"/>
        <w:ind w:left="0" w:leftChars="0" w:firstLine="560" w:firstLineChars="200"/>
        <w:textAlignment w:val="auto"/>
        <w:outlineLvl w:val="9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请广大机动车驾驶人自觉遵守道路交通安全法律法规的相关规定，严格按照道路交通标志、标线的指示行驶。公安交警部门将根据交通技术监控记录资料，对违反道路交通安全法律法规的机动车驾驶人、所有人或管理人依法予以处罚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440" w:lineRule="exact"/>
        <w:ind w:left="0" w:leftChars="0" w:firstLine="560" w:firstLineChars="200"/>
        <w:textAlignment w:val="auto"/>
        <w:outlineLvl w:val="9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特此公告 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440" w:lineRule="exact"/>
        <w:ind w:left="0" w:leftChars="0"/>
        <w:jc w:val="right"/>
        <w:textAlignment w:val="auto"/>
        <w:outlineLvl w:val="9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4"/>
        <w:widowControl/>
        <w:wordWrap/>
        <w:adjustRightInd/>
        <w:snapToGrid/>
        <w:spacing w:before="0" w:beforeAutospacing="0" w:after="0" w:afterAutospacing="0" w:line="440" w:lineRule="exact"/>
        <w:ind w:left="0" w:leftChars="0"/>
        <w:jc w:val="right"/>
        <w:textAlignment w:val="auto"/>
        <w:outlineLvl w:val="9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淮安市公安局交通警察支队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高速公路三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大队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440" w:lineRule="exact"/>
        <w:ind w:left="0" w:leftChars="0" w:right="1120"/>
        <w:jc w:val="center"/>
        <w:textAlignment w:val="auto"/>
        <w:outlineLvl w:val="9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2022</w:t>
      </w:r>
      <w:r>
        <w:rPr>
          <w:rFonts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02</w:t>
      </w:r>
      <w:r>
        <w:rPr>
          <w:rFonts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23</w:t>
      </w:r>
      <w:r>
        <w:rPr>
          <w:rFonts w:ascii="方正仿宋_GBK" w:hAnsi="方正仿宋_GBK" w:eastAsia="方正仿宋_GBK" w:cs="方正仿宋_GBK"/>
          <w:sz w:val="28"/>
          <w:szCs w:val="28"/>
        </w:rPr>
        <w:t>日</w:t>
      </w:r>
    </w:p>
    <w:p>
      <w:pPr>
        <w:wordWrap/>
        <w:adjustRightInd/>
        <w:snapToGrid/>
        <w:spacing w:before="0" w:after="0" w:afterAutospacing="0" w:line="440" w:lineRule="exact"/>
        <w:ind w:left="0" w:lef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417</Characters>
  <Lines>3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2019-09-01T06:55:00Z</dcterms:created>
  <dc:creator>         无权限-访问受限</dc:creator>
  <cp:lastModifiedBy>Administrator</cp:lastModifiedBy>
  <cp:lastPrinted>2020-05-26T07:28:00Z</cp:lastPrinted>
  <dcterms:modified xsi:type="dcterms:W3CDTF">2022-02-23T03:19:42Z</dcterms:modified>
  <dc:title>关于公布固定式交通技术监控设备设置地点的公告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