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关于公布固定式交通技术监控设备设置地点的公告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道路交通秩序，预防和减少道路交通事故的发生，保障道路交通安全、有序、畅通，根据《中华人民共和国道路交通安全法》、《道路交通违法行为处理程序规定》（公安部157号令）的相关要求和有关规定，淮安市公安局交通警察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高速一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大队决定在以下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启用交通技术监控设备，本公告自发布之日起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个工作日后正式启用，现将设置情况公告如下：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一、交通技术监控设备类型：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闭路电视、公路卡口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二、设置地点：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G2京沪高速K832+700由南向北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G2京沪高速K837+700由北向南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三、查处的违法行为类别：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机动车违反禁令标志指示〔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三轴（含）以上货车闯禁区违法行为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；驾驶时拨打接听手持电话；车辆通行高速公路时，驾驶人、乘车人未按规定使用安全带；驾车时有其他妨碍安全行车的行为。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请广大机动车驾驶人自觉遵守道路交通安全法律法规的相关规定，严格按照道路交通标志、标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识</w:t>
      </w:r>
      <w:r>
        <w:rPr>
          <w:rFonts w:hint="eastAsia" w:ascii="仿宋_GB2312" w:hAnsi="仿宋_GB2312" w:eastAsia="仿宋_GB2312" w:cs="仿宋_GB2312"/>
          <w:sz w:val="32"/>
          <w:szCs w:val="32"/>
        </w:rPr>
        <w:t>的指示行驶。公安交警部门将根据交通技术监控记录资料，对违反道路交通安全法律法规的机动车驾驶人、所有人或管理人依法予以处罚。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4"/>
        <w:widowControl/>
        <w:spacing w:beforeAutospacing="0" w:afterAutospacing="0" w:line="5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淮安市公安局交通警察支队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高速一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</w:t>
      </w:r>
    </w:p>
    <w:p>
      <w:pPr>
        <w:pStyle w:val="4"/>
        <w:widowControl/>
        <w:spacing w:beforeAutospacing="0" w:afterAutospacing="0" w:line="520" w:lineRule="exact"/>
        <w:ind w:right="11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pStyle w:val="4"/>
        <w:widowControl/>
        <w:spacing w:beforeAutospacing="0" w:afterAutospacing="0" w:line="520" w:lineRule="exact"/>
        <w:ind w:right="11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altName w:val="Palatino Linotype"/>
    <w:panose1 w:val="02040503050406030204"/>
    <w:charset w:val="00"/>
    <w:family w:val="auto"/>
    <w:pitch w:val="default"/>
    <w:sig w:usb0="E00002FF" w:usb1="420024FF" w:usb2="00000000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altName w:val="Palatino Linotype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Century Gothic">
    <w:altName w:val="Trebuchet MS"/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altName w:val="黑体"/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Rounded MT Bold">
    <w:altName w:val="Arial"/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方正楷体_GB2312">
    <w:altName w:val="楷体_GB2312"/>
    <w:panose1 w:val="00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_GB2312"/>
    <w:panose1 w:val="00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417</Characters>
  <Lines>3</Lines>
  <Paragraphs>1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2019-09-01T06:55:00Z</dcterms:created>
  <dc:creator>         无权限-访问受限</dc:creator>
  <cp:lastModifiedBy>Administrator</cp:lastModifiedBy>
  <cp:lastPrinted>2021-11-30T02:57:00Z</cp:lastPrinted>
  <dcterms:modified xsi:type="dcterms:W3CDTF">2021-12-21T08:20:30Z</dcterms:modified>
  <dc:title>关于公布固定式交通技术监控设备设置地点的公告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