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widowControl/>
        <w:spacing w:beforeAutospacing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</w:rPr>
        <w:t>关于公布固定式交通技术监控设备设置地点的公告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480" w:lineRule="exact"/>
        <w:ind w:left="0" w:leftChars="0" w:firstLine="560" w:firstLineChars="200"/>
        <w:textAlignment w:val="auto"/>
        <w:outlineLvl w:val="9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为维护道路交通秩序，预防和减少道路交通事故的发生，保障道路交通安全、有序、畅通，根据《中华人民共和国道路交通安全法》、《道路交通违法行为处理程序规定》（公安部157号令）的相关要求和有关规定，淮安市公安局交通警察支队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大队决定在以下路段启用交通技术监控设备，本公告自发布之日起五个工作日后正式启用，现将设置情况公告如下：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480" w:lineRule="exact"/>
        <w:ind w:left="0" w:leftChars="0" w:firstLine="560" w:firstLineChars="200"/>
        <w:textAlignment w:val="auto"/>
        <w:outlineLvl w:val="9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一、交通技术监控设备类型：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闯红灯记录设备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wordWrap/>
        <w:adjustRightInd/>
        <w:snapToGrid/>
        <w:spacing w:before="0" w:after="0" w:line="480" w:lineRule="exact"/>
        <w:ind w:left="0" w:leftChars="0"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二、设置地点：</w:t>
      </w:r>
    </w:p>
    <w:p>
      <w:pPr>
        <w:widowControl w:val="0"/>
        <w:wordWrap/>
        <w:adjustRightInd/>
        <w:snapToGrid/>
        <w:spacing w:before="0" w:after="0" w:line="480" w:lineRule="exact"/>
        <w:ind w:left="0" w:leftChars="0" w:right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-SA"/>
        </w:rPr>
        <w:t xml:space="preserve">南京路威海路口、青岛路南京路口、康城路苏州路口、浦东路厦门路口、厦门路韩泰路口、深圳路苏州路口、深圳路康育路口、韩泰路汕头路口、合肥路三亚路口、厦门路福州路口、汕头路福州路口、福州路大连路口、合肥路大连路口、大连路武汉路口、大连路南京路口、南京路三亚路口、深圳路韩泰路口、杭州路洪福路口、洪福路南通路口、水渡口大道飞耀路口、水渡口大道合肥路口、越秀路三门楼路口、飞耀路白鹭湖大街路口、旺旺路曦园街路口、洪福路合肥路口。 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before="0" w:after="0" w:line="48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查处的违法行为类别：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驾驶机动车违反道路交通信号灯通行的、机动车通过有灯控路口时，不按所需行进方向驶入导向车道的、机动车违反禁令标志指示的。</w:t>
      </w:r>
    </w:p>
    <w:p>
      <w:pPr>
        <w:numPr>
          <w:numId w:val="0"/>
        </w:numPr>
        <w:wordWrap/>
        <w:adjustRightInd/>
        <w:snapToGrid/>
        <w:spacing w:before="0" w:after="0" w:line="480" w:lineRule="exact"/>
        <w:ind w:left="0" w:leftChars="0"/>
        <w:textAlignment w:val="auto"/>
        <w:outlineLvl w:val="9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请广大机动车驾驶人自觉遵守道路交通安全法律法规的相关规定，严格按照道路交通标志、标线的指示行驶。公安交警部门将根据交通技术监控记录资料，对违反道路交通安全法律法规的机动车驾驶人、所有人或管理人依法予以处罚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480" w:lineRule="exact"/>
        <w:ind w:left="0" w:leftChars="0" w:firstLine="560" w:firstLineChars="200"/>
        <w:textAlignment w:val="auto"/>
        <w:outlineLvl w:val="9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特此公告 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480" w:lineRule="exact"/>
        <w:ind w:left="0" w:leftChars="0"/>
        <w:jc w:val="right"/>
        <w:textAlignment w:val="auto"/>
        <w:outlineLvl w:val="9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pStyle w:val="4"/>
        <w:widowControl/>
        <w:wordWrap/>
        <w:adjustRightInd/>
        <w:snapToGrid/>
        <w:spacing w:before="0" w:beforeAutospacing="0" w:after="0" w:afterAutospacing="0" w:line="480" w:lineRule="exact"/>
        <w:ind w:left="0" w:leftChars="0"/>
        <w:jc w:val="right"/>
        <w:textAlignment w:val="auto"/>
        <w:outlineLvl w:val="9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pStyle w:val="4"/>
        <w:widowControl/>
        <w:wordWrap/>
        <w:adjustRightInd/>
        <w:snapToGrid/>
        <w:spacing w:before="0" w:beforeAutospacing="0" w:after="0" w:afterAutospacing="0" w:line="480" w:lineRule="exact"/>
        <w:ind w:left="0" w:leftChars="0"/>
        <w:jc w:val="right"/>
        <w:textAlignment w:val="auto"/>
        <w:outlineLvl w:val="9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淮安市公安局交通警察支队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大队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480" w:lineRule="exact"/>
        <w:ind w:left="0" w:leftChars="0" w:right="1120"/>
        <w:jc w:val="center"/>
        <w:textAlignment w:val="auto"/>
        <w:outlineLvl w:val="9"/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2021</w:t>
      </w:r>
      <w:r>
        <w:rPr>
          <w:rFonts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12</w:t>
      </w:r>
      <w:r>
        <w:rPr>
          <w:rFonts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HAOPAI92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31833908">
    <w:nsid w:val="6143CF34"/>
    <w:multiLevelType w:val="singleLevel"/>
    <w:tmpl w:val="6143CF34"/>
    <w:lvl w:ilvl="0" w:tentative="1">
      <w:start w:val="3"/>
      <w:numFmt w:val="chineseCounting"/>
      <w:suff w:val="nothing"/>
      <w:lvlText w:val="%1、"/>
      <w:lvlJc w:val="left"/>
    </w:lvl>
  </w:abstractNum>
  <w:num w:numId="1">
    <w:abstractNumId w:val="163183390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</Words>
  <Characters>417</Characters>
  <Lines>3</Lines>
  <Paragraphs>1</Paragraphs>
  <ScaleCrop>false</ScaleCrop>
  <LinksUpToDate>false</LinksUpToDate>
  <CharactersWithSpaces>0</CharactersWithSpaces>
  <Application>WPS Office 个人版_9.1.0.4397_{F1E327BC-269C-435d-A152-05C5408002CA}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2019-09-01T06:55:00Z</dcterms:created>
  <dc:creator>         无权限-访问受限</dc:creator>
  <cp:lastModifiedBy>Administrator</cp:lastModifiedBy>
  <cp:lastPrinted>2021-09-27T03:34:00Z</cp:lastPrinted>
  <dcterms:modified xsi:type="dcterms:W3CDTF">2021-12-21T01:19:37Z</dcterms:modified>
  <dc:title>关于公布固定式交通技术监控设备设置地点的公告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