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pacing w:before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关于公布固定式交通技术监控设备设置地点的公告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为维护道路交通秩序，预防和减少道路交通事故的发生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，减少因发生交通事故引发次生伤害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，保障道路交通安全、有序、畅通，根据《中华人民共和国道路交通安全法》、《道路交通违法行为处理程序规定》（公安部157号令）的相关要求和有关规定，淮安市公安局交通警察支队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高速公路三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大队决定在以下路段启用交通技术监控设备，本公告自发布之日起五个工作日后正式启用，现将设置情况公告如下：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一、交通技术监控设备类型：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公路卡口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设备。</w:t>
      </w:r>
    </w:p>
    <w:p>
      <w:pPr>
        <w:spacing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二、设置地点：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G25长深高速1840公里380米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三、查处的违法行为类别：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>驾驶时拨打接听手持电话的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>在高速公路上行驶时，驾驶人未按规定使用安全带的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>车辆通行高速公路时，乘车人不按规定系安全带的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>。</w:t>
      </w:r>
    </w:p>
    <w:p>
      <w:pPr>
        <w:spacing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请广大机动车驾驶人自觉遵守道路交通安全法律法规的相关规定，严格按照道路交通标志、标线的指示行驶。公安交警部门将根据交通技术监控记录资料，对违反道路交通安全法律法规的机动车驾驶人、所有人或管理人依法予以处罚。</w:t>
      </w:r>
    </w:p>
    <w:p>
      <w:pPr>
        <w:pStyle w:val="4"/>
        <w:widowControl/>
        <w:spacing w:beforeAutospacing="0" w:afterAutospacing="0" w:line="52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特此公告 </w:t>
      </w: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spacing w:beforeAutospacing="0" w:afterAutospacing="0" w:line="520" w:lineRule="exact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淮安市公安局交通警察支队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高速公路三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大队</w:t>
      </w:r>
    </w:p>
    <w:p>
      <w:pPr>
        <w:pStyle w:val="4"/>
        <w:widowControl/>
        <w:spacing w:beforeAutospacing="0" w:afterAutospacing="0" w:line="520" w:lineRule="exact"/>
        <w:ind w:right="1120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2021</w:t>
      </w:r>
      <w:r>
        <w:rPr>
          <w:rFonts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</w:t>
      </w:r>
      <w:r>
        <w:rPr>
          <w:rFonts w:ascii="方正仿宋_GBK" w:hAnsi="方正仿宋_GBK" w:eastAsia="方正仿宋_GBK" w:cs="方正仿宋_GBK"/>
          <w:sz w:val="28"/>
          <w:szCs w:val="28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Arial Rounded MT Bold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417</Characters>
  <Lines>3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2019-09-01T06:55:00Z</dcterms:created>
  <dc:creator>         无权限-访问受限</dc:creator>
  <cp:lastModifiedBy>Administrator</cp:lastModifiedBy>
  <cp:lastPrinted>2020-05-26T07:28:00Z</cp:lastPrinted>
  <dcterms:modified xsi:type="dcterms:W3CDTF">2021-12-22T04:08:45Z</dcterms:modified>
  <dc:title>关于公布固定式交通技术监控设备设置地点的公告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